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7" w:name="Xe1d626308696597c09d8604fb72ab729e2584d3"/>
    <w:p>
      <w:pPr>
        <w:pStyle w:val="Heading2"/>
      </w:pPr>
      <w:r>
        <w:t xml:space="preserve">Relatório Final do Advogado – Conclusão do Litígio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1234/24.5T8LSB – Processo Especial de Despejo – Arrendamento Comercial – Falta de Pagamento e Caducidade Contratual</w:t>
      </w:r>
      <w:r>
        <w:br/>
      </w:r>
      <w:r>
        <w:rPr>
          <w:b/>
          <w:bCs/>
        </w:rPr>
        <w:t xml:space="preserve">Vara:</w:t>
      </w:r>
      <w:r>
        <w:t xml:space="preserve"> </w:t>
      </w:r>
      <w:r>
        <w:t xml:space="preserve">Vara Cível de Lisboa – Juiz de Direito</w:t>
      </w:r>
      <w:r>
        <w:t xml:space="preserve"> </w:t>
      </w:r>
      <w:r>
        <w:rPr>
          <w:b/>
          <w:bCs/>
        </w:rPr>
        <w:t xml:space="preserve">Dr. Carlos Mendes</w:t>
      </w:r>
      <w:r>
        <w:br/>
      </w:r>
      <w:r>
        <w:rPr>
          <w:b/>
          <w:bCs/>
        </w:rPr>
        <w:t xml:space="preserve">Data:</w:t>
      </w:r>
      <w:r>
        <w:t xml:space="preserve"> </w:t>
      </w:r>
      <w:r>
        <w:t xml:space="preserve">28 de fevereiro de 2026</w:t>
      </w:r>
    </w:p>
    <w:p>
      <w:r>
        <w:pict>
          <v:rect style="width:0;height:1.5pt" o:hralign="center" o:hrstd="t" o:hr="t"/>
        </w:pict>
      </w:r>
    </w:p>
    <w:bookmarkStart w:id="9" w:name="identificação-das-partes"/>
    <w:p>
      <w:pPr>
        <w:pStyle w:val="Heading3"/>
      </w:pPr>
      <w:r>
        <w:t xml:space="preserve">1. Identificação das 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680"/>
        <w:gridCol w:w="3120"/>
        <w:gridCol w:w="1200"/>
        <w:gridCol w:w="19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Parte</w:t>
            </w:r>
          </w:p>
        </w:tc>
        <w:tc>
          <w:tcPr/>
          <w:p>
            <w:pPr>
              <w:pStyle w:val="Compact"/>
            </w:pPr>
            <w:r>
              <w:t xml:space="preserve">Denominação</w:t>
            </w:r>
          </w:p>
        </w:tc>
        <w:tc>
          <w:tcPr/>
          <w:p>
            <w:pPr>
              <w:pStyle w:val="Compact"/>
            </w:pPr>
            <w:r>
              <w:t xml:space="preserve">NIF</w:t>
            </w:r>
          </w:p>
        </w:tc>
        <w:tc>
          <w:tcPr/>
          <w:p>
            <w:pPr>
              <w:pStyle w:val="Compact"/>
            </w:pPr>
            <w:r>
              <w:t xml:space="preserve">Morada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Autor / Requerente</w:t>
            </w:r>
          </w:p>
        </w:tc>
        <w:tc>
          <w:tcPr/>
          <w:p>
            <w:pPr>
              <w:pStyle w:val="Compact"/>
            </w:pPr>
            <w:r>
              <w:t xml:space="preserve">Empresa de Arrendamento Comercial, Lda.</w:t>
            </w:r>
          </w:p>
        </w:tc>
        <w:tc>
          <w:tcPr/>
          <w:p>
            <w:pPr>
              <w:pStyle w:val="Compact"/>
            </w:pPr>
            <w:r>
              <w:t xml:space="preserve">508 123 456</w:t>
            </w:r>
          </w:p>
        </w:tc>
        <w:tc>
          <w:tcPr/>
          <w:p>
            <w:pPr>
              <w:pStyle w:val="Compact"/>
            </w:pPr>
            <w:r>
              <w:t xml:space="preserve">Avenida da Liberdade, 45 – 1.º Esq., 1250‑147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 / Requerido</w:t>
            </w:r>
          </w:p>
        </w:tc>
        <w:tc>
          <w:tcPr/>
          <w:p>
            <w:pPr>
              <w:pStyle w:val="Compact"/>
            </w:pPr>
            <w:r>
              <w:t xml:space="preserve">Sr. João da Silva</w:t>
            </w:r>
          </w:p>
        </w:tc>
        <w:tc>
          <w:tcPr/>
          <w:p>
            <w:pPr>
              <w:pStyle w:val="Compact"/>
            </w:pPr>
            <w:r>
              <w:t xml:space="preserve">213 456 789</w:t>
            </w:r>
          </w:p>
        </w:tc>
        <w:tc>
          <w:tcPr/>
          <w:p>
            <w:pPr>
              <w:pStyle w:val="Compact"/>
            </w:pPr>
            <w:r>
              <w:t xml:space="preserve">Rua de São Bento, 12 – 3.º Dto., 1200‑123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Mandatários</w:t>
            </w:r>
          </w:p>
        </w:tc>
        <w:tc>
          <w:tcPr/>
          <w:p>
            <w:pPr>
              <w:pStyle w:val="Compact"/>
            </w:pPr>
            <w:r>
              <w:t xml:space="preserve">Dr. Ana Martins (OA 12345) – Escritório Martins &amp; Associados, Rua da Prata, 8 – 2.º, 1100‑420 Lisboa</w:t>
            </w:r>
            <w:r>
              <w:t xml:space="preserve"> </w:t>
            </w:r>
            <w:r>
              <w:t xml:space="preserve"> </w:t>
            </w:r>
            <w:r>
              <w:t xml:space="preserve">Dr. Luís Pereira (OA 67890) – Escritório Pereira &amp; Advogados, Avenida dos Aliados, 22 – 4.º, 4000‑123 Porto</w:t>
            </w:r>
          </w:p>
        </w:tc>
        <w:tc>
          <w:tcPr/>
          <w:p>
            <w:pPr>
              <w:pStyle w:val="Compact"/>
            </w:pPr>
            <w:r>
              <w:t xml:space="preserve">–</w:t>
            </w:r>
          </w:p>
        </w:tc>
        <w:tc>
          <w:tcPr/>
          <w:p>
            <w:pPr>
              <w:pStyle w:val="Compact"/>
            </w:pPr>
            <w:r>
              <w:t xml:space="preserve">–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síntese-dos-factos-relevantes"/>
    <w:p>
      <w:pPr>
        <w:pStyle w:val="Heading3"/>
      </w:pPr>
      <w:r>
        <w:t xml:space="preserve">2. Síntese dos factos relevantes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655"/>
        <w:gridCol w:w="426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Facto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01 de setembro de 2020</w:t>
            </w:r>
          </w:p>
        </w:tc>
        <w:tc>
          <w:tcPr/>
          <w:p>
            <w:pPr>
              <w:pStyle w:val="Compact"/>
            </w:pPr>
            <w:r>
              <w:t xml:space="preserve">Celebração do contrato de arrendamento comercial (prazo de 5 anos) com renda mensal de</w:t>
            </w:r>
            <w:r>
              <w:t xml:space="preserve"> </w:t>
            </w:r>
            <w:r>
              <w:rPr>
                <w:b/>
                <w:bCs/>
              </w:rPr>
              <w:t xml:space="preserve">€ 5 000,00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01 de setembro de 2023</w:t>
            </w:r>
          </w:p>
        </w:tc>
        <w:tc>
          <w:tcPr/>
          <w:p>
            <w:pPr>
              <w:pStyle w:val="Compact"/>
            </w:pPr>
            <w:r>
              <w:t xml:space="preserve">Início da mora nas rendas – o réu deixa de pagar a primeira prestação.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01 de setembro de 2023 a 01 de abril de 2024</w:t>
            </w:r>
          </w:p>
        </w:tc>
        <w:tc>
          <w:tcPr/>
          <w:p>
            <w:pPr>
              <w:pStyle w:val="Compact"/>
            </w:pPr>
            <w:r>
              <w:t xml:space="preserve">O réu permanece em mora durante</w:t>
            </w:r>
            <w:r>
              <w:t xml:space="preserve"> </w:t>
            </w:r>
            <w:r>
              <w:rPr>
                <w:b/>
                <w:bCs/>
              </w:rPr>
              <w:t xml:space="preserve">8 (oito) meses</w:t>
            </w:r>
            <w:r>
              <w:t xml:space="preserve">, totalizando</w:t>
            </w:r>
            <w:r>
              <w:t xml:space="preserve"> </w:t>
            </w:r>
            <w:r>
              <w:rPr>
                <w:b/>
                <w:bCs/>
              </w:rPr>
              <w:t xml:space="preserve">€ 40 000,00</w:t>
            </w:r>
            <w:r>
              <w:t xml:space="preserve"> </w:t>
            </w:r>
            <w:r>
              <w:t xml:space="preserve">em rendas em dívida.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 de maio de 2024</w:t>
            </w:r>
          </w:p>
        </w:tc>
        <w:tc>
          <w:tcPr/>
          <w:p>
            <w:pPr>
              <w:pStyle w:val="Compact"/>
            </w:pPr>
            <w:r>
              <w:t xml:space="preserve">A Empresa de Arrendamento Comercial, Lda., apresenta a</w:t>
            </w:r>
            <w:r>
              <w:t xml:space="preserve"> </w:t>
            </w:r>
            <w:r>
              <w:rPr>
                <w:b/>
                <w:bCs/>
              </w:rPr>
              <w:t xml:space="preserve">ação especial de despejo</w:t>
            </w:r>
            <w:r>
              <w:t xml:space="preserve"> </w:t>
            </w:r>
            <w:r>
              <w:t xml:space="preserve">com pedido de resolução do contrato, despejo e cobrança de valores em atraso, juros e indemnização por obras não autorizadas.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 de julho de 2024</w:t>
            </w:r>
          </w:p>
        </w:tc>
        <w:tc>
          <w:tcPr/>
          <w:p>
            <w:pPr>
              <w:pStyle w:val="Compact"/>
            </w:pPr>
            <w:r>
              <w:t xml:space="preserve">Sentença de primeira instância:</w:t>
            </w:r>
            <w:r>
              <w:t xml:space="preserve"> </w:t>
            </w:r>
            <w:r>
              <w:rPr>
                <w:b/>
                <w:bCs/>
              </w:rPr>
              <w:t xml:space="preserve">resolução do contrato</w:t>
            </w:r>
            <w:r>
              <w:t xml:space="preserve">,</w:t>
            </w:r>
            <w:r>
              <w:t xml:space="preserve"> </w:t>
            </w:r>
            <w:r>
              <w:rPr>
                <w:b/>
                <w:bCs/>
              </w:rPr>
              <w:t xml:space="preserve">ordenação de despejo</w:t>
            </w:r>
            <w:r>
              <w:t xml:space="preserve"> </w:t>
            </w:r>
            <w:r>
              <w:t xml:space="preserve">e</w:t>
            </w:r>
            <w:r>
              <w:t xml:space="preserve"> </w:t>
            </w:r>
            <w:r>
              <w:rPr>
                <w:b/>
                <w:bCs/>
              </w:rPr>
              <w:t xml:space="preserve">condenação do réu ao pagamento</w:t>
            </w:r>
            <w:r>
              <w:t xml:space="preserve"> </w:t>
            </w:r>
            <w:r>
              <w:t xml:space="preserve">de rendas em dívida, juros moratórios, indemnização por obras e custos processuais.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 de julho de 2024</w:t>
            </w:r>
          </w:p>
        </w:tc>
        <w:tc>
          <w:tcPr/>
          <w:p>
            <w:pPr>
              <w:pStyle w:val="Compact"/>
            </w:pPr>
            <w:r>
              <w:t xml:space="preserve">Execução da ordem de despejo – o réu é retirado do imóvel e a posse é devolvida ao senhorio.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 de agosto de 2024</w:t>
            </w:r>
          </w:p>
        </w:tc>
        <w:tc>
          <w:tcPr/>
          <w:p>
            <w:pPr>
              <w:pStyle w:val="Compact"/>
            </w:pPr>
            <w:r>
              <w:t xml:space="preserve">Pagamento parcial pelo réu (valor de</w:t>
            </w:r>
            <w:r>
              <w:t xml:space="preserve"> </w:t>
            </w:r>
            <w:r>
              <w:rPr>
                <w:b/>
                <w:bCs/>
              </w:rPr>
              <w:t xml:space="preserve">€ 20 000,00</w:t>
            </w:r>
            <w:r>
              <w:t xml:space="preserve">) mediante acordo de pagamento em duas parcelas.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 de dezembro de 2024</w:t>
            </w:r>
          </w:p>
        </w:tc>
        <w:tc>
          <w:tcPr/>
          <w:p>
            <w:pPr>
              <w:pStyle w:val="Compact"/>
            </w:pPr>
            <w:r>
              <w:t xml:space="preserve">Cumprimento integral do acordo – pagamento da segunda parcela de</w:t>
            </w:r>
            <w:r>
              <w:t xml:space="preserve"> </w:t>
            </w:r>
            <w:r>
              <w:rPr>
                <w:b/>
                <w:bCs/>
              </w:rPr>
              <w:t xml:space="preserve">€ 20 000,00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05 de janeiro de 2025</w:t>
            </w:r>
          </w:p>
        </w:tc>
        <w:tc>
          <w:tcPr/>
          <w:p>
            <w:pPr>
              <w:pStyle w:val="Compact"/>
            </w:pPr>
            <w:r>
              <w:t xml:space="preserve">Recebimento da documentação comprobatória das obras realizadas pelo réu sem autorização, avaliadas em</w:t>
            </w:r>
            <w:r>
              <w:t xml:space="preserve"> </w:t>
            </w:r>
            <w:r>
              <w:rPr>
                <w:b/>
                <w:bCs/>
              </w:rPr>
              <w:t xml:space="preserve">€ 12 500,00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 de março de 2025</w:t>
            </w:r>
          </w:p>
        </w:tc>
        <w:tc>
          <w:tcPr/>
          <w:p>
            <w:pPr>
              <w:pStyle w:val="Compact"/>
            </w:pPr>
            <w:r>
              <w:t xml:space="preserve">Emissão de nota de honorários e custas judiciais ao requerente (valor total</w:t>
            </w:r>
            <w:r>
              <w:t xml:space="preserve"> </w:t>
            </w:r>
            <w:r>
              <w:rPr>
                <w:b/>
                <w:bCs/>
              </w:rPr>
              <w:t xml:space="preserve">€ 6 200,00</w:t>
            </w:r>
            <w:r>
              <w:t xml:space="preserve">).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decisões-judiciais"/>
    <w:p>
      <w:pPr>
        <w:pStyle w:val="Heading3"/>
      </w:pPr>
      <w:r>
        <w:t xml:space="preserve">3. Decisões judiciais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Resolução do contrato</w:t>
      </w:r>
      <w:r>
        <w:t xml:space="preserve"> </w:t>
      </w:r>
      <w:r>
        <w:t xml:space="preserve">– com fundamento no artigo 1072.º do Código Civil, pela caducidade decorrente da falta de pagamento de três rendas consecutivas.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Despejo</w:t>
      </w:r>
      <w:r>
        <w:t xml:space="preserve"> </w:t>
      </w:r>
      <w:r>
        <w:t xml:space="preserve">– ordem de desocupação imediata, a ser cumprida no prazo de 15 dias úteis, nos termos do artigo 1022.º do Código de Processo Civil.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Condenação ao pagamento</w:t>
      </w:r>
      <w:r>
        <w:t xml:space="preserve">:</w:t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Rendas em dívida</w:t>
      </w:r>
      <w:r>
        <w:t xml:space="preserve"> </w:t>
      </w:r>
      <w:r>
        <w:t xml:space="preserve">– € 40 000,00.</w:t>
      </w:r>
      <w:r>
        <w:br/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Juros moratórios</w:t>
      </w:r>
      <w:r>
        <w:t xml:space="preserve"> </w:t>
      </w:r>
      <w:r>
        <w:t xml:space="preserve">– 4 % ao ano, calculados até a data de pagamento efetivo, totalizando</w:t>
      </w:r>
      <w:r>
        <w:t xml:space="preserve"> </w:t>
      </w:r>
      <w:r>
        <w:rPr>
          <w:b/>
          <w:bCs/>
        </w:rPr>
        <w:t xml:space="preserve">€ 800,00</w:t>
      </w:r>
      <w:r>
        <w:t xml:space="preserve">.</w:t>
      </w:r>
      <w:r>
        <w:br/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Indemnização por obras não autorizadas</w:t>
      </w:r>
      <w:r>
        <w:t xml:space="preserve"> </w:t>
      </w:r>
      <w:r>
        <w:t xml:space="preserve">– € 12 500,00.</w:t>
      </w:r>
      <w:r>
        <w:br/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Custas judiciais</w:t>
      </w:r>
      <w:r>
        <w:t xml:space="preserve"> </w:t>
      </w:r>
      <w:r>
        <w:t xml:space="preserve">– € 1 200,00.</w:t>
      </w:r>
      <w:r>
        <w:br/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Honorários de advogado</w:t>
      </w:r>
      <w:r>
        <w:t xml:space="preserve"> </w:t>
      </w:r>
      <w:r>
        <w:t xml:space="preserve">– € 5 000,00 (conforme tabela de honorários da OAB).</w:t>
      </w:r>
    </w:p>
    <w:p>
      <w:r>
        <w:pict>
          <v:rect style="width:0;height:1.5pt" o:hralign="center" o:hrstd="t" o:hr="t"/>
        </w:pict>
      </w:r>
    </w:p>
    <w:bookmarkEnd w:id="11"/>
    <w:bookmarkStart w:id="13" w:name="valores-liquidados"/>
    <w:p>
      <w:pPr>
        <w:pStyle w:val="Heading3"/>
      </w:pPr>
      <w:r>
        <w:t xml:space="preserve">4. Valores liquidados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Rendas em dívida (8 meses)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Juros moratórios (até 10/07/2024)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Indemnização por obras não autorizadas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12 500,00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Custas judiciais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1 200,00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Honorários de advogado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5 000,00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 a cobrar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59 500,00</w:t>
            </w:r>
          </w:p>
        </w:tc>
      </w:tr>
    </w:tbl>
    <w:bookmarkStart w:id="12" w:name="pagamentos-efetuados"/>
    <w:p>
      <w:pPr>
        <w:pStyle w:val="Heading4"/>
      </w:pPr>
      <w:r>
        <w:t xml:space="preserve">Pagamentos efetuados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638"/>
        <w:gridCol w:w="3004"/>
        <w:gridCol w:w="327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  <w:tc>
          <w:tcPr/>
          <w:p>
            <w:pPr>
              <w:pStyle w:val="Compact"/>
            </w:pPr>
            <w:r>
              <w:t xml:space="preserve">Observação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15/08/2024</w:t>
            </w:r>
          </w:p>
        </w:tc>
        <w:tc>
          <w:tcPr/>
          <w:p>
            <w:pPr>
              <w:pStyle w:val="Compact"/>
            </w:pPr>
            <w:r>
              <w:t xml:space="preserve">20 000,00</w:t>
            </w:r>
          </w:p>
        </w:tc>
        <w:tc>
          <w:tcPr/>
          <w:p>
            <w:pPr>
              <w:pStyle w:val="Compact"/>
            </w:pPr>
            <w:r>
              <w:t xml:space="preserve">Primeira parcela do acordo de pagamento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20/12/2024</w:t>
            </w:r>
          </w:p>
        </w:tc>
        <w:tc>
          <w:tcPr/>
          <w:p>
            <w:pPr>
              <w:pStyle w:val="Compact"/>
            </w:pPr>
            <w:r>
              <w:t xml:space="preserve">20 000,00</w:t>
            </w:r>
          </w:p>
        </w:tc>
        <w:tc>
          <w:tcPr/>
          <w:p>
            <w:pPr>
              <w:pStyle w:val="Compact"/>
            </w:pPr>
            <w:r>
              <w:t xml:space="preserve">Segunda parcela – quitação da dívida principal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05/01/2025</w:t>
            </w:r>
          </w:p>
        </w:tc>
        <w:tc>
          <w:tcPr/>
          <w:p>
            <w:pPr>
              <w:pStyle w:val="Compact"/>
            </w:pPr>
            <w:r>
              <w:t xml:space="preserve">12 500,00</w:t>
            </w:r>
          </w:p>
        </w:tc>
        <w:tc>
          <w:tcPr/>
          <w:p>
            <w:pPr>
              <w:pStyle w:val="Compact"/>
            </w:pPr>
            <w:r>
              <w:t xml:space="preserve">Indemnização por obras (pagamento direto ao senhorio)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10/03/2025</w:t>
            </w:r>
          </w:p>
        </w:tc>
        <w:tc>
          <w:tcPr/>
          <w:p>
            <w:pPr>
              <w:pStyle w:val="Compact"/>
            </w:pPr>
            <w:r>
              <w:t xml:space="preserve">6 200,00</w:t>
            </w:r>
          </w:p>
        </w:tc>
        <w:tc>
          <w:tcPr/>
          <w:p>
            <w:pPr>
              <w:pStyle w:val="Compact"/>
            </w:pPr>
            <w:r>
              <w:t xml:space="preserve">Custas + honorários (pagamento ao advogado)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 recebido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58 700,00</w:t>
            </w: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b/>
          <w:bCs/>
        </w:rPr>
        <w:t xml:space="preserve">Saldo remanescente:</w:t>
      </w:r>
      <w:r>
        <w:t xml:space="preserve"> </w:t>
      </w:r>
      <w:r>
        <w:rPr>
          <w:b/>
          <w:bCs/>
        </w:rPr>
        <w:t xml:space="preserve">€ 800,00</w:t>
      </w:r>
      <w:r>
        <w:t xml:space="preserve"> </w:t>
      </w:r>
      <w:r>
        <w:t xml:space="preserve">(correspondente aos juros moratórios). O réu procedeu ao pagamento integral dos juros em</w:t>
      </w:r>
      <w:r>
        <w:t xml:space="preserve"> </w:t>
      </w:r>
      <w:r>
        <w:rPr>
          <w:b/>
          <w:bCs/>
        </w:rPr>
        <w:t xml:space="preserve">15 de abril de 2025</w:t>
      </w:r>
      <w:r>
        <w:t xml:space="preserve">, encerrando a obrigação financeira.</w:t>
      </w:r>
    </w:p>
    <w:p>
      <w:r>
        <w:pict>
          <v:rect style="width:0;height:1.5pt" o:hralign="center" o:hrstd="t" o:hr="t"/>
        </w:pict>
      </w:r>
    </w:p>
    <w:bookmarkEnd w:id="12"/>
    <w:bookmarkEnd w:id="13"/>
    <w:bookmarkStart w:id="14" w:name="cumprimento-da-ordem-de-despejo"/>
    <w:p>
      <w:pPr>
        <w:pStyle w:val="Heading3"/>
      </w:pPr>
      <w:r>
        <w:t xml:space="preserve">5. Cumprimento da ordem de despejo</w:t>
      </w:r>
    </w:p>
    <w:p>
      <w:pPr>
        <w:pStyle w:val="Compact"/>
        <w:numPr>
          <w:ilvl w:val="0"/>
          <w:numId w:val="1003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ordem de despejo</w:t>
      </w:r>
      <w:r>
        <w:t xml:space="preserve"> </w:t>
      </w:r>
      <w:r>
        <w:t xml:space="preserve">foi executada em</w:t>
      </w:r>
      <w:r>
        <w:t xml:space="preserve"> </w:t>
      </w:r>
      <w:r>
        <w:rPr>
          <w:b/>
          <w:bCs/>
        </w:rPr>
        <w:t xml:space="preserve">30 de julho de 2024</w:t>
      </w:r>
      <w:r>
        <w:t xml:space="preserve">, com a presença da força policial e a entrega das chaves ao senhorio.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Não foram registados incidentes de resistência ou danos ao imóvel durante a desocupação.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O imóvel foi entregue nas condições contratuais, salvo as obras não autorizadas já indemnizadas.</w:t>
      </w:r>
    </w:p>
    <w:p>
      <w:r>
        <w:pict>
          <v:rect style="width:0;height:1.5pt" o:hralign="center" o:hrstd="t" o:hr="t"/>
        </w:pict>
      </w:r>
    </w:p>
    <w:bookmarkEnd w:id="14"/>
    <w:bookmarkStart w:id="15" w:name="X0148bcbdadf9f074f9ff8d91162da8bf3f6c824"/>
    <w:p>
      <w:pPr>
        <w:pStyle w:val="Heading3"/>
      </w:pPr>
      <w:r>
        <w:t xml:space="preserve">6. Lições aprendidas e recomendações para futuros litígios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173"/>
        <w:gridCol w:w="6746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Lição / Recomendaçã 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Monitorização contínua das rendas</w:t>
            </w:r>
            <w:r>
              <w:t xml:space="preserve"> </w:t>
            </w:r>
            <w:r>
              <w:t xml:space="preserve">– Implementar um sistema de alerta automático ao atraso de 7 dias, permitindo intervenções prévias e evitando a escalada para mora prolongada.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Cláusula de autorização prévia de obras</w:t>
            </w:r>
            <w:r>
              <w:t xml:space="preserve"> </w:t>
            </w:r>
            <w:r>
              <w:t xml:space="preserve">– Reforçar a cláusula contratual que obriga o arrendatário a obter consentimento escrito para qualquer obra, com penalizações específicas.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Acordos de pagamento escalonado</w:t>
            </w:r>
            <w:r>
              <w:t xml:space="preserve"> </w:t>
            </w:r>
            <w:r>
              <w:t xml:space="preserve">– Quando a dívida for superior a € 30 000,00, considerar a proposta de pagamento em parcelas, com garantia (fiança bancária ou penhor) para assegurar o cumprimento.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Documentação fotográfica</w:t>
            </w:r>
            <w:r>
              <w:t xml:space="preserve"> </w:t>
            </w:r>
            <w:r>
              <w:t xml:space="preserve">– Manter registo fotográfico periódico do estado do imóvel, facilitando a prova de danos e a quantificação de indemnizações.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Acompanhamento pós‑despejo</w:t>
            </w:r>
            <w:r>
              <w:t xml:space="preserve"> </w:t>
            </w:r>
            <w:r>
              <w:t xml:space="preserve">– Realizar inspeção final e relatório de entrega do imóvel, a fim de evitar litígios posteriores sobre o estado de conservação.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Formação da equipa jurídica</w:t>
            </w:r>
            <w:r>
              <w:t xml:space="preserve"> </w:t>
            </w:r>
            <w:r>
              <w:t xml:space="preserve">– Atualizar os advogados sobre as recentes alterações ao Código de Processo Civil (artigos 1020.º a 1030.º), que simplificam procedimentos de despejo em casos de mora.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5"/>
    <w:bookmarkStart w:id="16" w:name="conclusão"/>
    <w:p>
      <w:pPr>
        <w:pStyle w:val="Heading3"/>
      </w:pPr>
      <w:r>
        <w:t xml:space="preserve">7. Conclusão</w:t>
      </w:r>
    </w:p>
    <w:p>
      <w:pPr>
        <w:pStyle w:val="FirstParagraph"/>
      </w:pPr>
      <w:r>
        <w:t xml:space="preserve">O litígio foi concluído com</w:t>
      </w:r>
      <w:r>
        <w:t xml:space="preserve"> </w:t>
      </w:r>
      <w:r>
        <w:rPr>
          <w:b/>
          <w:bCs/>
        </w:rPr>
        <w:t xml:space="preserve">sucesso total para o requerente</w:t>
      </w:r>
      <w:r>
        <w:t xml:space="preserve">, alcançando: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Resolução do contrato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restituição da posse</w:t>
      </w:r>
      <w:r>
        <w:t xml:space="preserve"> </w:t>
      </w:r>
      <w:r>
        <w:t xml:space="preserve">do imóvel ao senhorio.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Cobrança integral</w:t>
      </w:r>
      <w:r>
        <w:t xml:space="preserve"> </w:t>
      </w:r>
      <w:r>
        <w:t xml:space="preserve">das rendas em dívida, juros moratórios e indemnização por obras não autorizadas.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Pagamentos das custas e honorários</w:t>
      </w:r>
      <w:r>
        <w:t xml:space="preserve"> </w:t>
      </w:r>
      <w:r>
        <w:t xml:space="preserve">integralmente satisfeitos.</w:t>
      </w:r>
    </w:p>
    <w:p>
      <w:pPr>
        <w:pStyle w:val="FirstParagraph"/>
      </w:pPr>
      <w:r>
        <w:t xml:space="preserve">A atuação diligente dos mandatários</w:t>
      </w:r>
      <w:r>
        <w:t xml:space="preserve"> </w:t>
      </w:r>
      <w:r>
        <w:rPr>
          <w:b/>
          <w:bCs/>
        </w:rPr>
        <w:t xml:space="preserve">Dr.ª Ana Martins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Dr. Luís Pereira</w:t>
      </w:r>
      <w:r>
        <w:t xml:space="preserve">, aliada a uma estratégia processual célere, permitiu evitar prolongamento desnecessário do processo e assegurar a recuperação financeira do cliente.</w:t>
      </w:r>
    </w:p>
    <w:p>
      <w:pPr>
        <w:pStyle w:val="BodyText"/>
      </w:pPr>
      <w:r>
        <w:t xml:space="preserve">Este relatório deverá ser arquivado no processo 1234/24.5T8LSB e servirá de referência para a prática jurídica da área de arrendamento comercial da Empresa de Arrendamento Comercial, Lda.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Elaborado por:</w:t>
      </w:r>
      <w:r>
        <w:br/>
      </w:r>
      <w:r>
        <w:rPr>
          <w:b/>
          <w:bCs/>
        </w:rPr>
        <w:t xml:space="preserve">Dr. Ana Martins</w:t>
      </w:r>
      <w:r>
        <w:t xml:space="preserve"> </w:t>
      </w:r>
      <w:r>
        <w:t xml:space="preserve">– OAB Lisboa nº 12345</w:t>
      </w:r>
      <w:r>
        <w:br/>
      </w:r>
      <w:r>
        <w:rPr>
          <w:b/>
          <w:bCs/>
        </w:rPr>
        <w:t xml:space="preserve">Dr. Luís Pereira</w:t>
      </w:r>
      <w:r>
        <w:t xml:space="preserve"> </w:t>
      </w:r>
      <w:r>
        <w:t xml:space="preserve">– OAB Porto nº 67890</w:t>
      </w:r>
    </w:p>
    <w:p>
      <w:pPr>
        <w:pStyle w:val="BodyText"/>
      </w:pPr>
      <w:r>
        <w:rPr>
          <w:i/>
          <w:iCs/>
        </w:rPr>
        <w:t xml:space="preserve">Data:</w:t>
      </w:r>
      <w:r>
        <w:t xml:space="preserve"> </w:t>
      </w:r>
      <w:r>
        <w:t xml:space="preserve">28 de fevereiro de 2026.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2026-02-22T19:19:52Z</dcterms:created>
  <dcterms:modified xsi:type="dcterms:W3CDTF">2026-02-22T19:19:52Z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